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1F26" w14:textId="77777777" w:rsidR="006B6293" w:rsidRPr="00EF1A2B" w:rsidRDefault="006B6293" w:rsidP="006B62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3" w:hangingChars="97" w:hanging="233"/>
        <w:rPr>
          <w:rFonts w:ascii="微軟正黑體" w:eastAsia="微軟正黑體" w:hAnsi="微軟正黑體"/>
          <w:b/>
          <w:bCs/>
        </w:rPr>
      </w:pPr>
      <w:r w:rsidRPr="00EF1A2B">
        <w:rPr>
          <w:rFonts w:ascii="微軟正黑體" w:eastAsia="微軟正黑體" w:hAnsi="微軟正黑體" w:hint="eastAsia"/>
          <w:b/>
          <w:bCs/>
        </w:rPr>
        <w:t>Company code：</w:t>
      </w:r>
      <w:r w:rsidRPr="00563AF9">
        <w:rPr>
          <w:rFonts w:ascii="微軟正黑體" w:eastAsia="微軟正黑體" w:hAnsi="微軟正黑體" w:hint="eastAsia"/>
        </w:rPr>
        <w:t>2332</w:t>
      </w:r>
    </w:p>
    <w:p w14:paraId="781FD948" w14:textId="6475D277" w:rsidR="006B6293" w:rsidRPr="00BA7696" w:rsidRDefault="006B6293" w:rsidP="006B62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3" w:hangingChars="97" w:hanging="233"/>
        <w:rPr>
          <w:rFonts w:ascii="微軟正黑體" w:eastAsia="微軟正黑體" w:hAnsi="微軟正黑體"/>
          <w:b/>
          <w:bCs/>
        </w:rPr>
      </w:pPr>
      <w:r w:rsidRPr="00EF1A2B">
        <w:rPr>
          <w:rFonts w:ascii="微軟正黑體" w:eastAsia="微軟正黑體" w:hAnsi="微軟正黑體" w:hint="eastAsia"/>
          <w:b/>
          <w:bCs/>
        </w:rPr>
        <w:t>No：</w:t>
      </w:r>
      <w:r w:rsidR="00891E76">
        <w:rPr>
          <w:rFonts w:ascii="微軟正黑體" w:eastAsia="微軟正黑體" w:hAnsi="微軟正黑體" w:hint="eastAsia"/>
        </w:rPr>
        <w:t>1</w:t>
      </w:r>
    </w:p>
    <w:p w14:paraId="78DF8F3F" w14:textId="2C9E8161" w:rsidR="006B6293" w:rsidRPr="00357821" w:rsidRDefault="006B6293" w:rsidP="00147E07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3" w:hangingChars="97" w:hanging="233"/>
        <w:rPr>
          <w:rFonts w:ascii="微軟正黑體" w:eastAsia="微軟正黑體" w:hAnsi="微軟正黑體"/>
        </w:rPr>
      </w:pPr>
      <w:r w:rsidRPr="00EF1A2B">
        <w:rPr>
          <w:rFonts w:ascii="微軟正黑體" w:eastAsia="微軟正黑體" w:hAnsi="微軟正黑體" w:hint="eastAsia"/>
          <w:b/>
          <w:bCs/>
        </w:rPr>
        <w:t>Subject：</w:t>
      </w:r>
      <w:r w:rsidR="00147E07" w:rsidRPr="00147E07">
        <w:rPr>
          <w:rFonts w:ascii="微軟正黑體" w:eastAsia="微軟正黑體" w:hAnsi="微軟正黑體"/>
        </w:rPr>
        <w:t>Announcement of expecting to acquire private</w:t>
      </w:r>
      <w:r w:rsidR="00147E07">
        <w:rPr>
          <w:rFonts w:ascii="微軟正黑體" w:eastAsia="微軟正黑體" w:hAnsi="微軟正黑體" w:hint="eastAsia"/>
        </w:rPr>
        <w:t xml:space="preserve"> </w:t>
      </w:r>
      <w:r w:rsidR="00147E07" w:rsidRPr="00147E07">
        <w:rPr>
          <w:rFonts w:ascii="微軟正黑體" w:eastAsia="微軟正黑體" w:hAnsi="微軟正黑體"/>
        </w:rPr>
        <w:t>placement of common shares from ENSURE GLOBAL CORP., LTD.</w:t>
      </w:r>
    </w:p>
    <w:p w14:paraId="338759E6" w14:textId="75812193" w:rsidR="006B6293" w:rsidRPr="00EF1A2B" w:rsidRDefault="006B6293" w:rsidP="006B62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3" w:hangingChars="97" w:hanging="233"/>
        <w:rPr>
          <w:rFonts w:ascii="微軟正黑體" w:eastAsia="微軟正黑體" w:hAnsi="微軟正黑體"/>
          <w:b/>
          <w:bCs/>
        </w:rPr>
      </w:pPr>
      <w:r w:rsidRPr="00EF1A2B">
        <w:rPr>
          <w:rFonts w:ascii="微軟正黑體" w:eastAsia="微軟正黑體" w:hAnsi="微軟正黑體" w:hint="eastAsia"/>
          <w:b/>
          <w:bCs/>
        </w:rPr>
        <w:t>To which item it meets：</w:t>
      </w:r>
      <w:r w:rsidRPr="00563AF9">
        <w:rPr>
          <w:rFonts w:ascii="微軟正黑體" w:eastAsia="微軟正黑體" w:hAnsi="微軟正黑體" w:hint="eastAsia"/>
        </w:rPr>
        <w:t xml:space="preserve">paragraph </w:t>
      </w:r>
      <w:r w:rsidR="00147E07">
        <w:rPr>
          <w:rFonts w:ascii="微軟正黑體" w:eastAsia="微軟正黑體" w:hAnsi="微軟正黑體" w:hint="eastAsia"/>
        </w:rPr>
        <w:t>24</w:t>
      </w:r>
    </w:p>
    <w:p w14:paraId="6A90A9B0" w14:textId="4ED39423" w:rsidR="006B6293" w:rsidRPr="00EF1A2B" w:rsidRDefault="006B6293" w:rsidP="006B62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3" w:hangingChars="97" w:hanging="233"/>
        <w:rPr>
          <w:rFonts w:ascii="微軟正黑體" w:eastAsia="微軟正黑體" w:hAnsi="微軟正黑體"/>
          <w:b/>
          <w:bCs/>
        </w:rPr>
      </w:pPr>
      <w:r w:rsidRPr="00EF1A2B">
        <w:rPr>
          <w:rFonts w:ascii="微軟正黑體" w:eastAsia="微軟正黑體" w:hAnsi="微軟正黑體" w:hint="eastAsia"/>
          <w:b/>
          <w:bCs/>
        </w:rPr>
        <w:t>Date of events：</w:t>
      </w:r>
      <w:r w:rsidRPr="00563AF9">
        <w:rPr>
          <w:rFonts w:ascii="微軟正黑體" w:eastAsia="微軟正黑體" w:hAnsi="微軟正黑體" w:hint="eastAsia"/>
        </w:rPr>
        <w:t>2023/</w:t>
      </w:r>
      <w:r w:rsidR="000B68AD">
        <w:rPr>
          <w:rFonts w:ascii="微軟正黑體" w:eastAsia="微軟正黑體" w:hAnsi="微軟正黑體" w:hint="eastAsia"/>
        </w:rPr>
        <w:t>1</w:t>
      </w:r>
      <w:r w:rsidR="001069C7">
        <w:rPr>
          <w:rFonts w:ascii="微軟正黑體" w:eastAsia="微軟正黑體" w:hAnsi="微軟正黑體" w:hint="eastAsia"/>
        </w:rPr>
        <w:t>1</w:t>
      </w:r>
      <w:r w:rsidRPr="00563AF9">
        <w:rPr>
          <w:rFonts w:ascii="微軟正黑體" w:eastAsia="微軟正黑體" w:hAnsi="微軟正黑體" w:hint="eastAsia"/>
        </w:rPr>
        <w:t>/</w:t>
      </w:r>
      <w:r w:rsidR="00147E07">
        <w:rPr>
          <w:rFonts w:ascii="微軟正黑體" w:eastAsia="微軟正黑體" w:hAnsi="微軟正黑體" w:hint="eastAsia"/>
        </w:rPr>
        <w:t>23</w:t>
      </w:r>
    </w:p>
    <w:p w14:paraId="4ACABCAC" w14:textId="77777777" w:rsidR="006B6293" w:rsidRPr="00EF1A2B" w:rsidRDefault="006B6293" w:rsidP="006B62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3" w:hangingChars="97" w:hanging="233"/>
        <w:rPr>
          <w:rFonts w:ascii="微軟正黑體" w:eastAsia="微軟正黑體" w:hAnsi="微軟正黑體"/>
          <w:b/>
          <w:bCs/>
        </w:rPr>
      </w:pPr>
      <w:r w:rsidRPr="00EF1A2B">
        <w:rPr>
          <w:rFonts w:ascii="微軟正黑體" w:eastAsia="微軟正黑體" w:hAnsi="微軟正黑體" w:hint="eastAsia"/>
          <w:b/>
          <w:bCs/>
        </w:rPr>
        <w:t>Contents：</w:t>
      </w:r>
    </w:p>
    <w:p w14:paraId="2D52D3D8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1.Name and nature of the underlying security (if preferred shares, the terms</w:t>
      </w:r>
    </w:p>
    <w:p w14:paraId="5D95BDAA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and conditions of issuance shall also be indicated, e.g., dividend yield):</w:t>
      </w:r>
    </w:p>
    <w:p w14:paraId="549A0570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private placement of common shares of ENSURE GLOBAL CORP., LTD.</w:t>
      </w:r>
    </w:p>
    <w:p w14:paraId="33CF7BFF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2.Date of occurrence of the event:2023/11/23</w:t>
      </w:r>
    </w:p>
    <w:p w14:paraId="39D4A51A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3.No., unit price, and monetary amount of the transaction:</w:t>
      </w:r>
    </w:p>
    <w:p w14:paraId="2D8C019C" w14:textId="1A14273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No. of the transaction: common shares 5,000,000 shares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unit price of the transaction: NTD 7.20 per share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monetary amount of the transaction: NTD 36,000,000</w:t>
      </w:r>
    </w:p>
    <w:p w14:paraId="50F28339" w14:textId="42B1D87C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4.Counterparty to the trade and its relationship to the company (if the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trading counterparty is a natural person and not a related party of the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company, its name is not required to be disclosed):Counterparty: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ENSURE GLOBAL CORP., LTD.</w:t>
      </w:r>
    </w:p>
    <w:p w14:paraId="02A0FB1A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lastRenderedPageBreak/>
        <w:t>Relationship to the company: None</w:t>
      </w:r>
    </w:p>
    <w:p w14:paraId="1653109D" w14:textId="2CD685AA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5.Where the counterparty to the trade is a related party, an announcement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shall also be made of the reason for choosing the related party as trading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counterparty and the identity of the previous owner, including its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relationship with the company and the trading counterparty, the price of the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ownership transfer, and date of transfer:NA</w:t>
      </w:r>
    </w:p>
    <w:p w14:paraId="72D3EC99" w14:textId="0CF00421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6.Where the owner of the underlying securities within the past five years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has been a related party of the company, an announcement shall also include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the dates and prices of acquisition and disposal by the related party and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its relationship with the company at the time:NA</w:t>
      </w:r>
    </w:p>
    <w:p w14:paraId="4728A49D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7.Matters related to the creditor’s rights currently being disposed of</w:t>
      </w:r>
    </w:p>
    <w:p w14:paraId="7D3FFEC3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(including type of collateral of the disposed creditor’s rights; if the</w:t>
      </w:r>
    </w:p>
    <w:p w14:paraId="1B1D75FA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creditor’s rights are creditor’s rights over a related party, the name of</w:t>
      </w:r>
    </w:p>
    <w:p w14:paraId="5443CA77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the related party and the book amount of such creditor’s rights currently</w:t>
      </w:r>
    </w:p>
    <w:p w14:paraId="47BB1E7B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being disposed of must also be announced):NA</w:t>
      </w:r>
    </w:p>
    <w:p w14:paraId="708D3A0F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8.Profit (or loss) from the disposal (not applicable in cases of acquisition</w:t>
      </w:r>
    </w:p>
    <w:p w14:paraId="74F9486F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of securities) (where originally deferred, the status or recognition shall</w:t>
      </w:r>
    </w:p>
    <w:p w14:paraId="1A5CB540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be stated and explained):NA</w:t>
      </w:r>
    </w:p>
    <w:p w14:paraId="71A21384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9.Terms of delivery or payment (including payment period and monetary</w:t>
      </w:r>
    </w:p>
    <w:p w14:paraId="5F1918B1" w14:textId="67B46D28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lastRenderedPageBreak/>
        <w:t>amount), restrictive covenants in the contract, and other important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stipulations:</w:t>
      </w:r>
    </w:p>
    <w:p w14:paraId="6A7EE993" w14:textId="356A6A0A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Payment period:2023/11/21~2023/12/04</w:t>
      </w:r>
      <w:r w:rsidR="00E66B95">
        <w:rPr>
          <w:rFonts w:ascii="微軟正黑體" w:eastAsia="微軟正黑體" w:hAnsi="微軟正黑體"/>
        </w:rPr>
        <w:t xml:space="preserve"> </w:t>
      </w:r>
      <w:r w:rsidRPr="00147E07">
        <w:rPr>
          <w:rFonts w:ascii="微軟正黑體" w:eastAsia="微軟正黑體" w:hAnsi="微軟正黑體"/>
        </w:rPr>
        <w:t>The monetary amount NT$36,000,000.</w:t>
      </w:r>
    </w:p>
    <w:p w14:paraId="21D3A0C5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Restrictive covenants in the contract, and other important stipulations:None</w:t>
      </w:r>
    </w:p>
    <w:p w14:paraId="4ECB5C6A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10.The manner in which the current transaction was decided, the reference</w:t>
      </w:r>
    </w:p>
    <w:p w14:paraId="6AA526D9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basis for the decision on price, and the decision-making unit:The approval</w:t>
      </w:r>
    </w:p>
    <w:p w14:paraId="5CD03297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shall be made by the chairman of the board, and it shall be reported to</w:t>
      </w:r>
    </w:p>
    <w:p w14:paraId="3A31A9F1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the board of directors for approval afterwards.</w:t>
      </w:r>
    </w:p>
    <w:p w14:paraId="1E514949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11.Net worth per share of company of the underlying securities acquired or</w:t>
      </w:r>
    </w:p>
    <w:p w14:paraId="2F753AFB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disposed of:NTD1.83</w:t>
      </w:r>
    </w:p>
    <w:p w14:paraId="3F647145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12.The discrepancy between the reference price of private placement company</w:t>
      </w:r>
    </w:p>
    <w:p w14:paraId="0B5A45DA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and the transaction amount per share is 20 percent or more:Yes</w:t>
      </w:r>
    </w:p>
    <w:p w14:paraId="2136713F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13.Current cumulative no., amount, and shareholding ratio of the securities</w:t>
      </w:r>
    </w:p>
    <w:p w14:paraId="40A34871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being traded (including the current transaction) as of the date of</w:t>
      </w:r>
    </w:p>
    <w:p w14:paraId="531EE6A0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occurrence and status of any restriction of rights (e.g.,pledges):</w:t>
      </w:r>
    </w:p>
    <w:p w14:paraId="63825E37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Current cumulative no. of the securities:5,000,000 shares</w:t>
      </w:r>
    </w:p>
    <w:p w14:paraId="1B6558DF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Current cumulative amount of the securities: NTD 36,000,000</w:t>
      </w:r>
    </w:p>
    <w:p w14:paraId="1A0F2447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Shareholding ratio: 3.16%</w:t>
      </w:r>
    </w:p>
    <w:p w14:paraId="51EF7349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status of any restriction of rights:Comply with the shares transfer</w:t>
      </w:r>
    </w:p>
    <w:p w14:paraId="6A2699E6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lastRenderedPageBreak/>
        <w:t>restrictions of private placement.</w:t>
      </w:r>
    </w:p>
    <w:p w14:paraId="65EAF959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14.Privately placed securities (including the current transaction) as a</w:t>
      </w:r>
    </w:p>
    <w:p w14:paraId="026CC1A6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percentage of total assets of the company and shareholder’s equity of the</w:t>
      </w:r>
    </w:p>
    <w:p w14:paraId="214DA984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parent company on the latest financial statements, and the operating capital</w:t>
      </w:r>
    </w:p>
    <w:p w14:paraId="3B6CE6E0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on the latest financial statements as of the date of occurrence:</w:t>
      </w:r>
    </w:p>
    <w:p w14:paraId="5BE1F983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Privately placed securities as a percentage of total assets of the company:</w:t>
      </w:r>
    </w:p>
    <w:p w14:paraId="072E0424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0.27 %</w:t>
      </w:r>
    </w:p>
    <w:p w14:paraId="0B617BA0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Privately placed securities as a percentage of shareholder's equity of the</w:t>
      </w:r>
    </w:p>
    <w:p w14:paraId="35D0527D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0.40 %</w:t>
      </w:r>
    </w:p>
    <w:p w14:paraId="13F94314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The operating capital:NTD 107,543 thousand</w:t>
      </w:r>
    </w:p>
    <w:p w14:paraId="5C8F1C8C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15.Broker and broker's fee:None</w:t>
      </w:r>
    </w:p>
    <w:p w14:paraId="79470F3B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16.Concrete purpose or use of the acquisition or disposition:</w:t>
      </w:r>
    </w:p>
    <w:p w14:paraId="36204B9C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For strategic investment.</w:t>
      </w:r>
    </w:p>
    <w:p w14:paraId="10017F35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17.Whether the directors expressed any objection to the present transaction:NA</w:t>
      </w:r>
    </w:p>
    <w:p w14:paraId="2479DE6F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18.Whether the trading counterparty is a related party:None</w:t>
      </w:r>
    </w:p>
    <w:p w14:paraId="72571B6B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19.Date of approval by board of directors:NA</w:t>
      </w:r>
    </w:p>
    <w:p w14:paraId="12C3C292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20.Recognition date by supervisors or approval date by audit committee:NA</w:t>
      </w:r>
    </w:p>
    <w:p w14:paraId="7B0C27B0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21.Whether the CPA issued an opinion on the unreasonableness of the current</w:t>
      </w:r>
    </w:p>
    <w:p w14:paraId="1C5B842D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transaction:NA</w:t>
      </w:r>
    </w:p>
    <w:p w14:paraId="7DEA61EC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lastRenderedPageBreak/>
        <w:t>22.Name of the CPA firm:NA</w:t>
      </w:r>
    </w:p>
    <w:p w14:paraId="23BBA80D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23.Name of the CPA:NA</w:t>
      </w:r>
    </w:p>
    <w:p w14:paraId="712AC460" w14:textId="77777777" w:rsidR="00147E07" w:rsidRPr="00147E07" w:rsidRDefault="00147E07" w:rsidP="00147E07">
      <w:pPr>
        <w:rPr>
          <w:rFonts w:ascii="微軟正黑體" w:eastAsia="微軟正黑體" w:hAnsi="微軟正黑體"/>
        </w:rPr>
      </w:pPr>
      <w:r w:rsidRPr="00147E07">
        <w:rPr>
          <w:rFonts w:ascii="微軟正黑體" w:eastAsia="微軟正黑體" w:hAnsi="微軟正黑體"/>
        </w:rPr>
        <w:t>24.License no.of the CPA:NA</w:t>
      </w:r>
    </w:p>
    <w:p w14:paraId="48BEC6A2" w14:textId="10BC85EC" w:rsidR="00B52A73" w:rsidRPr="00563AF9" w:rsidRDefault="00147E07" w:rsidP="00147E07">
      <w:r w:rsidRPr="00147E07">
        <w:rPr>
          <w:rFonts w:ascii="微軟正黑體" w:eastAsia="微軟正黑體" w:hAnsi="微軟正黑體"/>
        </w:rPr>
        <w:t>25.Any other matters that need to be specified:None</w:t>
      </w:r>
    </w:p>
    <w:sectPr w:rsidR="00B52A73" w:rsidRPr="00563AF9" w:rsidSect="00471A93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E4C6" w14:textId="77777777" w:rsidR="000F0E76" w:rsidRDefault="000F0E76" w:rsidP="006B6293">
      <w:r>
        <w:separator/>
      </w:r>
    </w:p>
  </w:endnote>
  <w:endnote w:type="continuationSeparator" w:id="0">
    <w:p w14:paraId="5146F2C3" w14:textId="77777777" w:rsidR="000F0E76" w:rsidRDefault="000F0E76" w:rsidP="006B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5458" w14:textId="77777777" w:rsidR="000F0E76" w:rsidRDefault="000F0E76" w:rsidP="006B6293">
      <w:r>
        <w:separator/>
      </w:r>
    </w:p>
  </w:footnote>
  <w:footnote w:type="continuationSeparator" w:id="0">
    <w:p w14:paraId="50BB1649" w14:textId="77777777" w:rsidR="000F0E76" w:rsidRDefault="000F0E76" w:rsidP="006B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2D"/>
    <w:rsid w:val="00016A65"/>
    <w:rsid w:val="00071EC6"/>
    <w:rsid w:val="000927B6"/>
    <w:rsid w:val="000950C5"/>
    <w:rsid w:val="000B68AD"/>
    <w:rsid w:val="000F0E76"/>
    <w:rsid w:val="001069C7"/>
    <w:rsid w:val="00147E07"/>
    <w:rsid w:val="00153276"/>
    <w:rsid w:val="00162A3B"/>
    <w:rsid w:val="00186F29"/>
    <w:rsid w:val="001976C0"/>
    <w:rsid w:val="001B5342"/>
    <w:rsid w:val="001B66A3"/>
    <w:rsid w:val="002230F1"/>
    <w:rsid w:val="002B312D"/>
    <w:rsid w:val="002D34D0"/>
    <w:rsid w:val="00334DB6"/>
    <w:rsid w:val="003434F9"/>
    <w:rsid w:val="00357821"/>
    <w:rsid w:val="004470F0"/>
    <w:rsid w:val="004F1375"/>
    <w:rsid w:val="00563AF9"/>
    <w:rsid w:val="00586505"/>
    <w:rsid w:val="005D6D92"/>
    <w:rsid w:val="005E6476"/>
    <w:rsid w:val="006B05B9"/>
    <w:rsid w:val="006B6293"/>
    <w:rsid w:val="006F045F"/>
    <w:rsid w:val="00721369"/>
    <w:rsid w:val="00735FD4"/>
    <w:rsid w:val="00742408"/>
    <w:rsid w:val="00757598"/>
    <w:rsid w:val="007D03AA"/>
    <w:rsid w:val="007E7587"/>
    <w:rsid w:val="007F7B7E"/>
    <w:rsid w:val="00811AEA"/>
    <w:rsid w:val="00861534"/>
    <w:rsid w:val="00891E76"/>
    <w:rsid w:val="009E0039"/>
    <w:rsid w:val="00A1183A"/>
    <w:rsid w:val="00A42CC0"/>
    <w:rsid w:val="00AA2A03"/>
    <w:rsid w:val="00B424D5"/>
    <w:rsid w:val="00B42870"/>
    <w:rsid w:val="00B52A73"/>
    <w:rsid w:val="00BA7696"/>
    <w:rsid w:val="00C80693"/>
    <w:rsid w:val="00C85E30"/>
    <w:rsid w:val="00D03E70"/>
    <w:rsid w:val="00D0579F"/>
    <w:rsid w:val="00D3578E"/>
    <w:rsid w:val="00D6292D"/>
    <w:rsid w:val="00DE1654"/>
    <w:rsid w:val="00DE253D"/>
    <w:rsid w:val="00DE3521"/>
    <w:rsid w:val="00DF09AE"/>
    <w:rsid w:val="00DF18EF"/>
    <w:rsid w:val="00DF36CD"/>
    <w:rsid w:val="00E66B95"/>
    <w:rsid w:val="00F1433F"/>
    <w:rsid w:val="00F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CBEA"/>
  <w15:chartTrackingRefBased/>
  <w15:docId w15:val="{F68CA4C2-08C7-4F06-BB97-890DD704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428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42870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B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Wang</dc:creator>
  <cp:keywords/>
  <dc:description/>
  <cp:lastModifiedBy>Tyler Wang</cp:lastModifiedBy>
  <cp:revision>16</cp:revision>
  <cp:lastPrinted>2023-06-21T14:10:00Z</cp:lastPrinted>
  <dcterms:created xsi:type="dcterms:W3CDTF">2023-06-21T14:16:00Z</dcterms:created>
  <dcterms:modified xsi:type="dcterms:W3CDTF">2023-11-27T03:33:00Z</dcterms:modified>
</cp:coreProperties>
</file>